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GRADE – COST Action CA21141: IP MANAGEMENT PLAN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1. The plan below applies to all materials produced as a result of COST Action CA21141 and includes, but is not limited to, books, white papers, handouts and databases.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2. The primary place for publication of said content - or links to it - is CA21141 Webpage: https://costgrade.eu. Links to the material will also be published on CA21141 social media.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3. CA21141 does not publish material to which it does not have full rights - primarily archival software, but also other material on the history of digital Europe produced outside COST Action. Action produces original material or databases/repositories - in the latter case, however, only meta-data and links to external sources are collected in addition to the original descriptions.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4. All material produced should comply with FAIR principles (searchability, accessibility, interoperability, reusability) and be made available to the public through open access, preferably </w:t>
      </w:r>
      <w:r w:rsidDel="00000000" w:rsidR="00000000" w:rsidRPr="00000000">
        <w:rPr>
          <w:rtl w:val="0"/>
        </w:rPr>
        <w:t xml:space="preserve">a 'golden' open access strategies.</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5. All publications must mention the COST Action as the source of funding and recognise COST Action CA21141 (preferably with a link to the Action website) as part of the scientific origin of the publication.</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6. Each CA21141 participant in each case retains exclusive rights to his or her contribution to the generated content, while - in accordance with the FAIR policy mentioned above - granting other Action members a non-exclusive royalty-free right and licence to use and access it. In the case of databases and repositories, if, due to the GDPR, they are created based on anonymous online surveys or other activities that make it impossible to determine individual contributions, collective attribution of material for the entire CA21141 is allowed.</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7. In the case of dissemination activities, according to the Guidelines for the dissemination and exploitation of COST Actions results and outcomes (28/08/2017 - version 4), CA21141 follows a procedure whereby each person involved in the preparation of the outcome receives it for approval at minimum 2 weeks in advance. We also allow for the possibility to revise the disseminated material based on comments and feedback from other CA21141 members.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